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315" w:lineRule="atLeast"/>
        <w:ind w:left="0" w:right="0" w:firstLine="0"/>
        <w:jc w:val="left"/>
        <w:rPr>
          <w:rFonts w:ascii="Tahoma" w:hAnsi="Tahoma" w:eastAsia="Tahoma" w:cs="Tahoma"/>
          <w:caps w:val="0"/>
          <w:color w:val="333333"/>
          <w:spacing w:val="0"/>
          <w:sz w:val="21"/>
          <w:szCs w:val="21"/>
        </w:rPr>
      </w:pPr>
      <w:r>
        <w:rPr>
          <w:rFonts w:ascii="黑体" w:hAnsi="宋体" w:eastAsia="黑体" w:cs="黑体"/>
          <w:caps w:val="0"/>
          <w:color w:val="333333"/>
          <w:spacing w:val="0"/>
          <w:kern w:val="0"/>
          <w:sz w:val="31"/>
          <w:szCs w:val="31"/>
          <w:bdr w:val="none" w:color="auto" w:sz="0" w:space="0"/>
          <w:lang w:val="en-US" w:eastAsia="zh-CN" w:bidi="ar"/>
        </w:rPr>
        <w:t>附件</w:t>
      </w:r>
      <w:r>
        <w:rPr>
          <w:rFonts w:hint="eastAsia" w:ascii="黑体" w:hAnsi="宋体" w:eastAsia="黑体" w:cs="黑体"/>
          <w:caps w:val="0"/>
          <w:color w:val="333333"/>
          <w:spacing w:val="0"/>
          <w:kern w:val="0"/>
          <w:sz w:val="31"/>
          <w:szCs w:val="31"/>
          <w:bdr w:val="none" w:color="auto" w:sz="0" w:space="0"/>
          <w:lang w:val="en-US" w:eastAsia="zh-CN" w:bidi="ar"/>
        </w:rPr>
        <w:t>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465" w:lineRule="atLeast"/>
        <w:ind w:left="0" w:right="0" w:firstLine="0"/>
        <w:jc w:val="center"/>
        <w:rPr>
          <w:rFonts w:hint="default" w:ascii="Tahoma" w:hAnsi="Tahoma" w:eastAsia="Tahoma" w:cs="Tahoma"/>
          <w:caps w:val="0"/>
          <w:color w:val="333333"/>
          <w:spacing w:val="0"/>
          <w:sz w:val="21"/>
          <w:szCs w:val="21"/>
        </w:rPr>
      </w:pPr>
      <w:r>
        <w:rPr>
          <w:rStyle w:val="4"/>
          <w:rFonts w:ascii="仿宋" w:hAnsi="仿宋" w:eastAsia="仿宋" w:cs="仿宋"/>
          <w:caps w:val="0"/>
          <w:color w:val="333333"/>
          <w:spacing w:val="0"/>
          <w:kern w:val="0"/>
          <w:sz w:val="31"/>
          <w:szCs w:val="3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465" w:lineRule="atLeast"/>
        <w:ind w:left="0" w:right="0" w:firstLine="0"/>
        <w:jc w:val="center"/>
        <w:rPr>
          <w:rFonts w:hint="default" w:ascii="Tahoma" w:hAnsi="Tahoma" w:eastAsia="Tahoma" w:cs="Tahoma"/>
          <w:caps w:val="0"/>
          <w:color w:val="333333"/>
          <w:spacing w:val="0"/>
          <w:sz w:val="21"/>
          <w:szCs w:val="21"/>
        </w:rPr>
      </w:pPr>
      <w:r>
        <w:rPr>
          <w:rStyle w:val="4"/>
          <w:rFonts w:hint="eastAsia" w:ascii="宋体" w:hAnsi="宋体" w:eastAsia="宋体" w:cs="宋体"/>
          <w:caps w:val="0"/>
          <w:color w:val="333333"/>
          <w:spacing w:val="0"/>
          <w:kern w:val="0"/>
          <w:sz w:val="36"/>
          <w:szCs w:val="36"/>
          <w:bdr w:val="none" w:color="auto" w:sz="0" w:space="0"/>
          <w:lang w:val="en-US" w:eastAsia="zh-CN" w:bidi="ar"/>
        </w:rPr>
        <w:t>武汉商学院2024年普通专升本招生专业对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465" w:lineRule="atLeast"/>
        <w:ind w:left="0" w:right="0" w:firstLine="0"/>
        <w:jc w:val="center"/>
        <w:rPr>
          <w:rFonts w:hint="default" w:ascii="Tahoma" w:hAnsi="Tahoma" w:eastAsia="Tahoma" w:cs="Tahoma"/>
          <w:caps w:val="0"/>
          <w:color w:val="333333"/>
          <w:spacing w:val="0"/>
          <w:sz w:val="21"/>
          <w:szCs w:val="21"/>
        </w:rPr>
      </w:pPr>
      <w:r>
        <w:rPr>
          <w:rStyle w:val="4"/>
          <w:rFonts w:hint="eastAsia" w:ascii="宋体" w:hAnsi="宋体" w:eastAsia="宋体" w:cs="宋体"/>
          <w:caps w:val="0"/>
          <w:color w:val="333333"/>
          <w:spacing w:val="0"/>
          <w:kern w:val="0"/>
          <w:sz w:val="36"/>
          <w:szCs w:val="36"/>
          <w:bdr w:val="none" w:color="auto" w:sz="0" w:space="0"/>
          <w:lang w:val="en-US" w:eastAsia="zh-CN" w:bidi="ar"/>
        </w:rPr>
        <w:t>高职（专科）专业的报考范围要求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465" w:lineRule="atLeast"/>
        <w:ind w:left="0" w:right="0" w:firstLine="0"/>
        <w:jc w:val="center"/>
        <w:rPr>
          <w:rFonts w:hint="default" w:ascii="Tahoma" w:hAnsi="Tahoma" w:eastAsia="Tahoma" w:cs="Tahoma"/>
          <w:caps w:val="0"/>
          <w:color w:val="333333"/>
          <w:spacing w:val="0"/>
          <w:sz w:val="21"/>
          <w:szCs w:val="21"/>
        </w:rPr>
      </w:pPr>
      <w:r>
        <w:rPr>
          <w:rStyle w:val="4"/>
          <w:rFonts w:hint="default" w:ascii="Tahoma" w:hAnsi="Tahoma" w:eastAsia="Tahoma" w:cs="Tahoma"/>
          <w:caps w:val="0"/>
          <w:color w:val="333333"/>
          <w:spacing w:val="0"/>
          <w:kern w:val="0"/>
          <w:sz w:val="36"/>
          <w:szCs w:val="36"/>
          <w:bdr w:val="none" w:color="auto" w:sz="0" w:space="0"/>
          <w:lang w:val="en-US" w:eastAsia="zh-CN" w:bidi="ar"/>
        </w:rPr>
        <w:t> </w:t>
      </w:r>
    </w:p>
    <w:tbl>
      <w:tblPr>
        <w:tblW w:w="12900"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2413"/>
        <w:gridCol w:w="10487"/>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85" w:hRule="atLeast"/>
          <w:jc w:val="center"/>
        </w:trPr>
        <w:tc>
          <w:tcPr>
            <w:tcW w:w="935" w:type="pct"/>
            <w:tcBorders>
              <w:top w:val="single" w:color="000000" w:sz="6" w:space="0"/>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435" w:lineRule="atLeast"/>
              <w:ind w:left="0" w:right="0"/>
              <w:jc w:val="center"/>
              <w:rPr>
                <w:rFonts w:hint="default" w:ascii="Tahoma" w:hAnsi="Tahoma" w:eastAsia="Tahoma" w:cs="Tahoma"/>
                <w:color w:val="333333"/>
                <w:sz w:val="21"/>
                <w:szCs w:val="21"/>
              </w:rPr>
            </w:pPr>
            <w:r>
              <w:rPr>
                <w:rStyle w:val="4"/>
                <w:rFonts w:ascii="仿宋_gb2312" w:hAnsi="仿宋_gb2312" w:eastAsia="仿宋_gb2312" w:cs="仿宋_gb2312"/>
                <w:color w:val="333333"/>
                <w:kern w:val="0"/>
                <w:sz w:val="24"/>
                <w:szCs w:val="24"/>
                <w:bdr w:val="none" w:color="auto" w:sz="0" w:space="0"/>
                <w:lang w:val="en-US" w:eastAsia="zh-CN" w:bidi="ar"/>
              </w:rPr>
              <w:t>招生本科专业</w:t>
            </w:r>
          </w:p>
        </w:tc>
        <w:tc>
          <w:tcPr>
            <w:tcW w:w="4063" w:type="pct"/>
            <w:tcBorders>
              <w:top w:val="single" w:color="000000" w:sz="6" w:space="0"/>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435" w:lineRule="atLeast"/>
              <w:ind w:left="0" w:right="0"/>
              <w:jc w:val="center"/>
              <w:rPr>
                <w:rFonts w:hint="default" w:ascii="Tahoma" w:hAnsi="Tahoma" w:eastAsia="Tahoma" w:cs="Tahoma"/>
                <w:color w:val="333333"/>
                <w:sz w:val="21"/>
                <w:szCs w:val="21"/>
              </w:rPr>
            </w:pPr>
            <w:r>
              <w:rPr>
                <w:rStyle w:val="4"/>
                <w:rFonts w:hint="default" w:ascii="仿宋_gb2312" w:hAnsi="仿宋_gb2312" w:eastAsia="仿宋_gb2312" w:cs="仿宋_gb2312"/>
                <w:color w:val="333333"/>
                <w:kern w:val="0"/>
                <w:sz w:val="24"/>
                <w:szCs w:val="24"/>
                <w:bdr w:val="none" w:color="auto" w:sz="0" w:space="0"/>
                <w:lang w:val="en-US" w:eastAsia="zh-CN" w:bidi="ar"/>
              </w:rPr>
              <w:t>对应招收高职高专专业</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735" w:hRule="atLeast"/>
          <w:jc w:val="center"/>
        </w:trPr>
        <w:tc>
          <w:tcPr>
            <w:tcW w:w="935" w:type="pc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435" w:lineRule="atLeast"/>
              <w:ind w:left="0" w:right="0"/>
              <w:jc w:val="center"/>
              <w:textAlignment w:val="center"/>
              <w:rPr>
                <w:rFonts w:hint="default" w:ascii="Tahoma" w:hAnsi="Tahoma" w:eastAsia="Tahoma" w:cs="Tahoma"/>
                <w:color w:val="333333"/>
                <w:sz w:val="21"/>
                <w:szCs w:val="21"/>
              </w:rPr>
            </w:pPr>
            <w:r>
              <w:rPr>
                <w:rFonts w:hint="default" w:ascii="仿宋_gb2312" w:hAnsi="仿宋_gb2312" w:eastAsia="仿宋_gb2312" w:cs="仿宋_gb2312"/>
                <w:color w:val="333333"/>
                <w:kern w:val="0"/>
                <w:sz w:val="24"/>
                <w:szCs w:val="24"/>
                <w:bdr w:val="none" w:color="auto" w:sz="0" w:space="0"/>
                <w:lang w:val="en-US" w:eastAsia="zh-CN" w:bidi="ar"/>
              </w:rPr>
              <w:t>休闲体育</w:t>
            </w:r>
          </w:p>
        </w:tc>
        <w:tc>
          <w:tcPr>
            <w:tcW w:w="4063" w:type="pc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435" w:lineRule="atLeast"/>
              <w:ind w:left="0" w:right="0"/>
              <w:jc w:val="left"/>
              <w:textAlignment w:val="center"/>
              <w:rPr>
                <w:rFonts w:hint="default" w:ascii="Tahoma" w:hAnsi="Tahoma" w:eastAsia="Tahoma" w:cs="Tahoma"/>
                <w:color w:val="333333"/>
                <w:sz w:val="21"/>
                <w:szCs w:val="21"/>
              </w:rPr>
            </w:pPr>
            <w:r>
              <w:rPr>
                <w:rFonts w:hint="default" w:ascii="仿宋_gb2312" w:hAnsi="仿宋_gb2312" w:eastAsia="仿宋_gb2312" w:cs="仿宋_gb2312"/>
                <w:color w:val="333333"/>
                <w:kern w:val="0"/>
                <w:sz w:val="24"/>
                <w:szCs w:val="24"/>
                <w:bdr w:val="none" w:color="auto" w:sz="0" w:space="0"/>
                <w:lang w:val="en-US" w:eastAsia="zh-CN" w:bidi="ar"/>
              </w:rPr>
              <w:t>社会体育、运动训练、休闲体育、民族传统体育、体育运营与管理、健身指导与管理、电子竞技运动与管理、冰雪设施运维与管理等体育类相关专业及教育类的体育教育专业</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735" w:hRule="atLeast"/>
          <w:jc w:val="center"/>
        </w:trPr>
        <w:tc>
          <w:tcPr>
            <w:tcW w:w="935" w:type="pc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435" w:lineRule="atLeast"/>
              <w:ind w:left="0" w:right="0"/>
              <w:jc w:val="center"/>
              <w:textAlignment w:val="center"/>
              <w:rPr>
                <w:rFonts w:hint="default" w:ascii="Tahoma" w:hAnsi="Tahoma" w:eastAsia="Tahoma" w:cs="Tahoma"/>
                <w:color w:val="333333"/>
                <w:sz w:val="21"/>
                <w:szCs w:val="21"/>
              </w:rPr>
            </w:pPr>
            <w:r>
              <w:rPr>
                <w:rFonts w:hint="default" w:ascii="仿宋_gb2312" w:hAnsi="仿宋_gb2312" w:eastAsia="仿宋_gb2312" w:cs="仿宋_gb2312"/>
                <w:color w:val="333333"/>
                <w:kern w:val="0"/>
                <w:sz w:val="24"/>
                <w:szCs w:val="24"/>
                <w:bdr w:val="none" w:color="auto" w:sz="0" w:space="0"/>
                <w:lang w:val="en-US" w:eastAsia="zh-CN" w:bidi="ar"/>
              </w:rPr>
              <w:t>建筑环境与能源应用工程</w:t>
            </w:r>
          </w:p>
        </w:tc>
        <w:tc>
          <w:tcPr>
            <w:tcW w:w="4063" w:type="pc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435" w:lineRule="atLeast"/>
              <w:ind w:left="0" w:right="0"/>
              <w:jc w:val="left"/>
              <w:textAlignment w:val="center"/>
              <w:rPr>
                <w:rFonts w:hint="default" w:ascii="Tahoma" w:hAnsi="Tahoma" w:eastAsia="Tahoma" w:cs="Tahoma"/>
                <w:color w:val="333333"/>
                <w:sz w:val="21"/>
                <w:szCs w:val="21"/>
              </w:rPr>
            </w:pPr>
            <w:r>
              <w:rPr>
                <w:rFonts w:hint="default" w:ascii="仿宋_gb2312" w:hAnsi="仿宋_gb2312" w:eastAsia="仿宋_gb2312" w:cs="仿宋_gb2312"/>
                <w:color w:val="333333"/>
                <w:kern w:val="0"/>
                <w:sz w:val="24"/>
                <w:szCs w:val="24"/>
                <w:bdr w:val="none" w:color="auto" w:sz="0" w:space="0"/>
                <w:lang w:val="en-US" w:eastAsia="zh-CN" w:bidi="ar"/>
              </w:rPr>
              <w:t>制冷与空调技术、供热通风与空调工程技术、现代物业管理、建筑设备工程技术、建筑工程技术、冷链物流技术与管理、发电厂及电力系统、工程造价、建设工程管理、工业节能技术、建筑电气工程技术、城市燃气工程技术、管道工程技术、智能建造技术、汽车制造与试验技术（备注：仅限于以上专业报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735" w:hRule="atLeast"/>
          <w:jc w:val="center"/>
        </w:trPr>
        <w:tc>
          <w:tcPr>
            <w:tcW w:w="935" w:type="pc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435" w:lineRule="atLeast"/>
              <w:ind w:left="0" w:right="0"/>
              <w:jc w:val="center"/>
              <w:textAlignment w:val="center"/>
              <w:rPr>
                <w:rFonts w:hint="default" w:ascii="Tahoma" w:hAnsi="Tahoma" w:eastAsia="Tahoma" w:cs="Tahoma"/>
                <w:color w:val="333333"/>
                <w:sz w:val="21"/>
                <w:szCs w:val="21"/>
              </w:rPr>
            </w:pPr>
            <w:r>
              <w:rPr>
                <w:rFonts w:hint="default" w:ascii="仿宋_gb2312" w:hAnsi="仿宋_gb2312" w:eastAsia="仿宋_gb2312" w:cs="仿宋_gb2312"/>
                <w:color w:val="333333"/>
                <w:kern w:val="0"/>
                <w:sz w:val="24"/>
                <w:szCs w:val="24"/>
                <w:bdr w:val="none" w:color="auto" w:sz="0" w:space="0"/>
                <w:lang w:val="en-US" w:eastAsia="zh-CN" w:bidi="ar"/>
              </w:rPr>
              <w:t>食品质量与安全</w:t>
            </w:r>
          </w:p>
        </w:tc>
        <w:tc>
          <w:tcPr>
            <w:tcW w:w="4063" w:type="pc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435" w:lineRule="atLeast"/>
              <w:ind w:left="0" w:right="0"/>
              <w:jc w:val="left"/>
              <w:textAlignment w:val="center"/>
              <w:rPr>
                <w:rFonts w:hint="default" w:ascii="Tahoma" w:hAnsi="Tahoma" w:eastAsia="Tahoma" w:cs="Tahoma"/>
                <w:color w:val="333333"/>
                <w:sz w:val="21"/>
                <w:szCs w:val="21"/>
              </w:rPr>
            </w:pPr>
            <w:r>
              <w:rPr>
                <w:rFonts w:hint="default" w:ascii="仿宋_gb2312" w:hAnsi="仿宋_gb2312" w:eastAsia="仿宋_gb2312" w:cs="仿宋_gb2312"/>
                <w:color w:val="333333"/>
                <w:kern w:val="0"/>
                <w:sz w:val="24"/>
                <w:szCs w:val="24"/>
                <w:bdr w:val="none" w:color="auto" w:sz="0" w:space="0"/>
                <w:lang w:val="en-US" w:eastAsia="zh-CN" w:bidi="ar"/>
              </w:rPr>
              <w:t>食品智能加工技术、食品质量与安全、食品营养与健康、食品检验检测技术、酿酒技术、食品贮运与营销、食品药品监督管理、保健食品质量与管理、粮食工程技术与管理、粮食储运与质量安全、餐饮智能管理、烹饪工艺与营养、中西面点工艺、西式烹饪工艺、营养配餐、食用菌生产与加工技术、农产品加工与质量检测、绿色食品生产技术、农产品流通与管理、食品生物技术、绿色生物制造技术、生物信息技术（备注：仅限于以上专业报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735" w:hRule="atLeast"/>
          <w:jc w:val="center"/>
        </w:trPr>
        <w:tc>
          <w:tcPr>
            <w:tcW w:w="935" w:type="pc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435" w:lineRule="atLeast"/>
              <w:ind w:left="0" w:right="0"/>
              <w:jc w:val="center"/>
              <w:textAlignment w:val="center"/>
              <w:rPr>
                <w:rFonts w:hint="default" w:ascii="Tahoma" w:hAnsi="Tahoma" w:eastAsia="Tahoma" w:cs="Tahoma"/>
                <w:color w:val="333333"/>
                <w:sz w:val="21"/>
                <w:szCs w:val="21"/>
              </w:rPr>
            </w:pPr>
            <w:r>
              <w:rPr>
                <w:rFonts w:hint="default" w:ascii="仿宋_gb2312" w:hAnsi="仿宋_gb2312" w:eastAsia="仿宋_gb2312" w:cs="仿宋_gb2312"/>
                <w:color w:val="333333"/>
                <w:kern w:val="0"/>
                <w:sz w:val="24"/>
                <w:szCs w:val="24"/>
                <w:bdr w:val="none" w:color="auto" w:sz="0" w:space="0"/>
                <w:lang w:val="en-US" w:eastAsia="zh-CN" w:bidi="ar"/>
              </w:rPr>
              <w:t>烹饪与营养教育</w:t>
            </w:r>
          </w:p>
        </w:tc>
        <w:tc>
          <w:tcPr>
            <w:tcW w:w="4063" w:type="pc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435" w:lineRule="atLeast"/>
              <w:ind w:left="0" w:right="0"/>
              <w:jc w:val="left"/>
              <w:textAlignment w:val="center"/>
              <w:rPr>
                <w:rFonts w:hint="default" w:ascii="Tahoma" w:hAnsi="Tahoma" w:eastAsia="Tahoma" w:cs="Tahoma"/>
                <w:color w:val="333333"/>
                <w:sz w:val="21"/>
                <w:szCs w:val="21"/>
              </w:rPr>
            </w:pPr>
            <w:r>
              <w:rPr>
                <w:rFonts w:hint="default" w:ascii="仿宋_gb2312" w:hAnsi="仿宋_gb2312" w:eastAsia="仿宋_gb2312" w:cs="仿宋_gb2312"/>
                <w:color w:val="333333"/>
                <w:kern w:val="0"/>
                <w:sz w:val="24"/>
                <w:szCs w:val="24"/>
                <w:bdr w:val="none" w:color="auto" w:sz="0" w:space="0"/>
                <w:lang w:val="en-US" w:eastAsia="zh-CN" w:bidi="ar"/>
              </w:rPr>
              <w:t>烹饪工艺与营养、中西面点工艺、西式烹饪工艺、营养配餐、餐饮智能管理、食品智能加工技术、食品检验检测技术、食品营养与健康、保健食品质量与管理、健康管理、医学营养、中医养生保健、药膳与食疗、绿色食品生产技术、食用菌生产与加工技术（备注：仅限于以上专业报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735" w:hRule="atLeast"/>
          <w:jc w:val="center"/>
        </w:trPr>
        <w:tc>
          <w:tcPr>
            <w:tcW w:w="935" w:type="pc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435" w:lineRule="atLeast"/>
              <w:ind w:left="0" w:right="0"/>
              <w:jc w:val="center"/>
              <w:textAlignment w:val="center"/>
              <w:rPr>
                <w:rFonts w:hint="default" w:ascii="Tahoma" w:hAnsi="Tahoma" w:eastAsia="Tahoma" w:cs="Tahoma"/>
                <w:color w:val="333333"/>
                <w:sz w:val="21"/>
                <w:szCs w:val="21"/>
              </w:rPr>
            </w:pPr>
            <w:r>
              <w:rPr>
                <w:rFonts w:hint="default" w:ascii="仿宋_gb2312" w:hAnsi="仿宋_gb2312" w:eastAsia="仿宋_gb2312" w:cs="仿宋_gb2312"/>
                <w:color w:val="333333"/>
                <w:kern w:val="0"/>
                <w:sz w:val="24"/>
                <w:szCs w:val="24"/>
                <w:bdr w:val="none" w:color="auto" w:sz="0" w:space="0"/>
                <w:lang w:val="en-US" w:eastAsia="zh-CN" w:bidi="ar"/>
              </w:rPr>
              <w:t>人力资源管理</w:t>
            </w:r>
          </w:p>
        </w:tc>
        <w:tc>
          <w:tcPr>
            <w:tcW w:w="4063" w:type="pc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435" w:lineRule="atLeast"/>
              <w:ind w:left="0" w:right="0"/>
              <w:jc w:val="left"/>
              <w:rPr>
                <w:rFonts w:hint="default" w:ascii="Tahoma" w:hAnsi="Tahoma" w:eastAsia="Tahoma" w:cs="Tahoma"/>
                <w:color w:val="333333"/>
                <w:sz w:val="21"/>
                <w:szCs w:val="21"/>
              </w:rPr>
            </w:pPr>
            <w:r>
              <w:rPr>
                <w:rFonts w:hint="default" w:ascii="仿宋_gb2312" w:hAnsi="仿宋_gb2312" w:eastAsia="仿宋_gb2312" w:cs="仿宋_gb2312"/>
                <w:color w:val="333333"/>
                <w:kern w:val="0"/>
                <w:sz w:val="24"/>
                <w:szCs w:val="24"/>
                <w:bdr w:val="none" w:color="auto" w:sz="0" w:space="0"/>
                <w:lang w:val="en-US" w:eastAsia="zh-CN" w:bidi="ar"/>
              </w:rPr>
              <w:t>人力资源管理、劳动与社会保障、商务管理、行政管理、连锁经营与管理、公共事务管理、公共关系、市场营销、现代物业管理、全媒体广告策划与营销、大数据与会计、心理咨询、工商企业管理、中小企业创业与经营、职业指导与服务、现代文秘、大数据技术、统计与大数据分析（备注：仅限于以上专业报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750" w:hRule="atLeast"/>
          <w:jc w:val="center"/>
        </w:trPr>
        <w:tc>
          <w:tcPr>
            <w:tcW w:w="935" w:type="pc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435" w:lineRule="atLeast"/>
              <w:ind w:left="0" w:right="0"/>
              <w:jc w:val="center"/>
              <w:textAlignment w:val="center"/>
              <w:rPr>
                <w:rFonts w:hint="default" w:ascii="Tahoma" w:hAnsi="Tahoma" w:eastAsia="Tahoma" w:cs="Tahoma"/>
                <w:color w:val="333333"/>
                <w:sz w:val="21"/>
                <w:szCs w:val="21"/>
              </w:rPr>
            </w:pPr>
            <w:r>
              <w:rPr>
                <w:rFonts w:hint="default" w:ascii="仿宋_gb2312" w:hAnsi="仿宋_gb2312" w:eastAsia="仿宋_gb2312" w:cs="仿宋_gb2312"/>
                <w:color w:val="333333"/>
                <w:kern w:val="0"/>
                <w:sz w:val="24"/>
                <w:szCs w:val="24"/>
                <w:bdr w:val="none" w:color="auto" w:sz="0" w:space="0"/>
                <w:lang w:val="en-US" w:eastAsia="zh-CN" w:bidi="ar"/>
              </w:rPr>
              <w:t>零售业管理</w:t>
            </w:r>
          </w:p>
        </w:tc>
        <w:tc>
          <w:tcPr>
            <w:tcW w:w="4063" w:type="pc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435" w:lineRule="atLeast"/>
              <w:ind w:left="0" w:right="0"/>
              <w:jc w:val="left"/>
              <w:rPr>
                <w:rFonts w:hint="default" w:ascii="Tahoma" w:hAnsi="Tahoma" w:eastAsia="Tahoma" w:cs="Tahoma"/>
                <w:color w:val="333333"/>
                <w:sz w:val="21"/>
                <w:szCs w:val="21"/>
              </w:rPr>
            </w:pPr>
            <w:r>
              <w:rPr>
                <w:rFonts w:hint="default" w:ascii="仿宋_gb2312" w:hAnsi="仿宋_gb2312" w:eastAsia="仿宋_gb2312" w:cs="仿宋_gb2312"/>
                <w:color w:val="333333"/>
                <w:kern w:val="0"/>
                <w:sz w:val="24"/>
                <w:szCs w:val="24"/>
                <w:bdr w:val="none" w:color="auto" w:sz="0" w:space="0"/>
                <w:lang w:val="en-US" w:eastAsia="zh-CN" w:bidi="ar"/>
              </w:rPr>
              <w:t>市场营销、连锁经营与管理、商务管理、工商企业管理、中小企业创业与经营、全媒体广告策划与营销、国际经济与贸易、国际商务、网络营销与直播电商、移动商务、电子商务、跨境电子商务、供应链运营（备注：仅限于以上专业报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735" w:hRule="atLeast"/>
          <w:jc w:val="center"/>
        </w:trPr>
        <w:tc>
          <w:tcPr>
            <w:tcW w:w="935" w:type="pc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435" w:lineRule="atLeast"/>
              <w:ind w:left="0" w:right="0"/>
              <w:jc w:val="center"/>
              <w:textAlignment w:val="center"/>
              <w:rPr>
                <w:rFonts w:hint="default" w:ascii="Tahoma" w:hAnsi="Tahoma" w:eastAsia="Tahoma" w:cs="Tahoma"/>
                <w:color w:val="333333"/>
                <w:sz w:val="21"/>
                <w:szCs w:val="21"/>
              </w:rPr>
            </w:pPr>
            <w:r>
              <w:rPr>
                <w:rFonts w:hint="default" w:ascii="仿宋_gb2312" w:hAnsi="仿宋_gb2312" w:eastAsia="仿宋_gb2312" w:cs="仿宋_gb2312"/>
                <w:color w:val="333333"/>
                <w:kern w:val="0"/>
                <w:sz w:val="24"/>
                <w:szCs w:val="24"/>
                <w:bdr w:val="none" w:color="auto" w:sz="0" w:space="0"/>
                <w:lang w:val="en-US" w:eastAsia="zh-CN" w:bidi="ar"/>
              </w:rPr>
              <w:t>酒店管理</w:t>
            </w:r>
          </w:p>
        </w:tc>
        <w:tc>
          <w:tcPr>
            <w:tcW w:w="4063" w:type="pc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435" w:lineRule="atLeast"/>
              <w:ind w:left="0" w:right="0"/>
              <w:jc w:val="left"/>
              <w:rPr>
                <w:rFonts w:hint="default" w:ascii="Tahoma" w:hAnsi="Tahoma" w:eastAsia="Tahoma" w:cs="Tahoma"/>
                <w:color w:val="333333"/>
                <w:sz w:val="21"/>
                <w:szCs w:val="21"/>
              </w:rPr>
            </w:pPr>
            <w:r>
              <w:rPr>
                <w:rFonts w:hint="default" w:ascii="仿宋_gb2312" w:hAnsi="仿宋_gb2312" w:eastAsia="仿宋_gb2312" w:cs="仿宋_gb2312"/>
                <w:color w:val="333333"/>
                <w:kern w:val="0"/>
                <w:sz w:val="24"/>
                <w:szCs w:val="24"/>
                <w:bdr w:val="none" w:color="auto" w:sz="0" w:space="0"/>
                <w:lang w:val="en-US" w:eastAsia="zh-CN" w:bidi="ar"/>
              </w:rPr>
              <w:t>酒店管理与数字化运营、民宿管理与运营、旅游管理、导游、旅行社经营与管理、定制旅行管理与服务、研学旅行管理与服务、葡萄酒文化与营销、茶艺与茶文化、智慧景区开发与管理、智慧旅游技术应用、会展策划与管理、休闲服务与管理、餐饮智能管理、烹饪工艺与营养、中西面点工艺、西式烹饪工艺、营养配餐、文化创意与策划、文化产业经营与管理、公共文化服务与管理、旅游英语、旅游日语、人力资源管理、公共事务管理、工商企业管理、连锁经营与管理、商务管理、市场营销、空中乘务、机场运行服务与管理、国际邮轮乘务管理、食品营养与健康、森林生态旅游与康养、国际经济与贸易（备注：仅限于以上专业报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735" w:hRule="atLeast"/>
          <w:jc w:val="center"/>
        </w:trPr>
        <w:tc>
          <w:tcPr>
            <w:tcW w:w="935" w:type="pc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435" w:lineRule="atLeast"/>
              <w:ind w:left="0" w:right="0"/>
              <w:jc w:val="center"/>
              <w:textAlignment w:val="center"/>
              <w:rPr>
                <w:rFonts w:hint="default" w:ascii="Tahoma" w:hAnsi="Tahoma" w:eastAsia="Tahoma" w:cs="Tahoma"/>
                <w:color w:val="333333"/>
                <w:sz w:val="21"/>
                <w:szCs w:val="21"/>
              </w:rPr>
            </w:pPr>
            <w:r>
              <w:rPr>
                <w:rFonts w:hint="default" w:ascii="仿宋_gb2312" w:hAnsi="仿宋_gb2312" w:eastAsia="仿宋_gb2312" w:cs="仿宋_gb2312"/>
                <w:color w:val="333333"/>
                <w:kern w:val="0"/>
                <w:sz w:val="24"/>
                <w:szCs w:val="24"/>
                <w:bdr w:val="none" w:color="auto" w:sz="0" w:space="0"/>
                <w:lang w:val="en-US" w:eastAsia="zh-CN" w:bidi="ar"/>
              </w:rPr>
              <w:t>会展经济与管理</w:t>
            </w:r>
          </w:p>
        </w:tc>
        <w:tc>
          <w:tcPr>
            <w:tcW w:w="4063" w:type="pc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435" w:lineRule="atLeast"/>
              <w:ind w:left="0" w:right="0"/>
              <w:jc w:val="left"/>
              <w:rPr>
                <w:rFonts w:hint="default" w:ascii="Tahoma" w:hAnsi="Tahoma" w:eastAsia="Tahoma" w:cs="Tahoma"/>
                <w:color w:val="333333"/>
                <w:sz w:val="21"/>
                <w:szCs w:val="21"/>
              </w:rPr>
            </w:pPr>
            <w:r>
              <w:rPr>
                <w:rFonts w:hint="default" w:ascii="仿宋_gb2312" w:hAnsi="仿宋_gb2312" w:eastAsia="仿宋_gb2312" w:cs="仿宋_gb2312"/>
                <w:color w:val="333333"/>
                <w:kern w:val="0"/>
                <w:sz w:val="24"/>
                <w:szCs w:val="24"/>
                <w:bdr w:val="none" w:color="auto" w:sz="0" w:space="0"/>
                <w:lang w:val="en-US" w:eastAsia="zh-CN" w:bidi="ar"/>
              </w:rPr>
              <w:t>会展策划与管理、旅游管理、酒店管理与数字化运营、休闲服务与管理、商务管理、市场营销、电子商务、跨境电子商务、移动商务、网络营销与直播电商、农村电子商务、商务数据分析与应用、国际经济与贸易、国际商务、展示艺术设计、文化创意与策划、文化产业经营与管理、公共文化服务与管理、传播与策划、全媒体广告策划与营销、婚庆服务与管理（备注：仅限于以上专业报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70" w:hRule="atLeast"/>
          <w:jc w:val="center"/>
        </w:trPr>
        <w:tc>
          <w:tcPr>
            <w:tcW w:w="935" w:type="pc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435" w:lineRule="atLeast"/>
              <w:ind w:left="0" w:right="0"/>
              <w:jc w:val="center"/>
              <w:textAlignment w:val="center"/>
              <w:rPr>
                <w:rFonts w:hint="default" w:ascii="Tahoma" w:hAnsi="Tahoma" w:eastAsia="Tahoma" w:cs="Tahoma"/>
                <w:color w:val="333333"/>
                <w:sz w:val="21"/>
                <w:szCs w:val="21"/>
              </w:rPr>
            </w:pPr>
            <w:r>
              <w:rPr>
                <w:rFonts w:hint="default" w:ascii="仿宋_gb2312" w:hAnsi="仿宋_gb2312" w:eastAsia="仿宋_gb2312" w:cs="仿宋_gb2312"/>
                <w:color w:val="333333"/>
                <w:kern w:val="0"/>
                <w:sz w:val="24"/>
                <w:szCs w:val="24"/>
                <w:bdr w:val="none" w:color="auto" w:sz="0" w:space="0"/>
                <w:lang w:val="en-US" w:eastAsia="zh-CN" w:bidi="ar"/>
              </w:rPr>
              <w:t>旅游管理与服务教育</w:t>
            </w:r>
          </w:p>
        </w:tc>
        <w:tc>
          <w:tcPr>
            <w:tcW w:w="4063" w:type="pc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435" w:lineRule="atLeast"/>
              <w:ind w:left="0" w:right="0"/>
              <w:jc w:val="left"/>
              <w:rPr>
                <w:rFonts w:hint="default" w:ascii="Tahoma" w:hAnsi="Tahoma" w:eastAsia="Tahoma" w:cs="Tahoma"/>
                <w:color w:val="333333"/>
                <w:sz w:val="21"/>
                <w:szCs w:val="21"/>
              </w:rPr>
            </w:pPr>
            <w:r>
              <w:rPr>
                <w:rFonts w:hint="default" w:ascii="仿宋_gb2312" w:hAnsi="仿宋_gb2312" w:eastAsia="仿宋_gb2312" w:cs="仿宋_gb2312"/>
                <w:color w:val="333333"/>
                <w:kern w:val="0"/>
                <w:sz w:val="24"/>
                <w:szCs w:val="24"/>
                <w:bdr w:val="none" w:color="auto" w:sz="0" w:space="0"/>
                <w:lang w:val="en-US" w:eastAsia="zh-CN" w:bidi="ar"/>
              </w:rPr>
              <w:t>旅游管理、导游、旅行社经营与管理、定制旅行管理与服务、研学旅行管理与服务、酒店管理与数字化运营、民宿管理与运营、葡萄酒文化与营销、茶艺与茶文化、智慧景区开发与管理、智慧旅游技术应用、会展策划与管理、休闲服务与管理、旅游英语、旅游日语、学前教育、小学教育、小学科学教育、森林生态旅游与康养、国际邮轮乘务管理、空中乘务（备注：仅限于以上专业报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735" w:hRule="atLeast"/>
          <w:jc w:val="center"/>
        </w:trPr>
        <w:tc>
          <w:tcPr>
            <w:tcW w:w="935" w:type="pc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435" w:lineRule="atLeast"/>
              <w:ind w:left="0" w:right="0"/>
              <w:jc w:val="center"/>
              <w:textAlignment w:val="center"/>
              <w:rPr>
                <w:rFonts w:hint="default" w:ascii="Tahoma" w:hAnsi="Tahoma" w:eastAsia="Tahoma" w:cs="Tahoma"/>
                <w:color w:val="333333"/>
                <w:sz w:val="21"/>
                <w:szCs w:val="21"/>
              </w:rPr>
            </w:pPr>
            <w:r>
              <w:rPr>
                <w:rFonts w:hint="default" w:ascii="仿宋_gb2312" w:hAnsi="仿宋_gb2312" w:eastAsia="仿宋_gb2312" w:cs="仿宋_gb2312"/>
                <w:color w:val="333333"/>
                <w:kern w:val="0"/>
                <w:sz w:val="24"/>
                <w:szCs w:val="24"/>
                <w:bdr w:val="none" w:color="auto" w:sz="0" w:space="0"/>
                <w:lang w:val="en-US" w:eastAsia="zh-CN" w:bidi="ar"/>
              </w:rPr>
              <w:t>数字媒体艺术</w:t>
            </w:r>
          </w:p>
        </w:tc>
        <w:tc>
          <w:tcPr>
            <w:tcW w:w="4063" w:type="pc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435" w:lineRule="atLeast"/>
              <w:ind w:left="0" w:right="0"/>
              <w:jc w:val="left"/>
              <w:textAlignment w:val="center"/>
              <w:rPr>
                <w:rFonts w:hint="default" w:ascii="Tahoma" w:hAnsi="Tahoma" w:eastAsia="Tahoma" w:cs="Tahoma"/>
                <w:color w:val="333333"/>
                <w:sz w:val="21"/>
                <w:szCs w:val="21"/>
              </w:rPr>
            </w:pPr>
            <w:r>
              <w:rPr>
                <w:rFonts w:hint="default" w:ascii="仿宋_gb2312" w:hAnsi="仿宋_gb2312" w:eastAsia="仿宋_gb2312" w:cs="仿宋_gb2312"/>
                <w:color w:val="333333"/>
                <w:kern w:val="0"/>
                <w:sz w:val="24"/>
                <w:szCs w:val="24"/>
                <w:bdr w:val="none" w:color="auto" w:sz="0" w:space="0"/>
                <w:lang w:val="en-US" w:eastAsia="zh-CN" w:bidi="ar"/>
              </w:rPr>
              <w:t>数字媒体艺术设计、艺术设计、动漫设计、影视动画、影视多媒体技术、数字媒体技术、游戏艺术设计、摄影与摄像艺术、视觉传达设计、广告艺术设计、产品艺术设计、室内艺术设计、展示艺术设计、环境艺术设计、公共艺术设计、包装艺术设计、工艺美术品设计、家具艺术设计、人物形象设计、书画艺术（备注：仅限于以上专业报考）</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24" w:lineRule="atLeast"/>
        <w:ind w:left="0" w:right="0" w:firstLine="0"/>
        <w:jc w:val="left"/>
        <w:rPr>
          <w:rFonts w:hint="default" w:ascii="Tahoma" w:hAnsi="Tahoma" w:eastAsia="Tahoma" w:cs="Tahoma"/>
          <w:caps w:val="0"/>
          <w:color w:val="333333"/>
          <w:spacing w:val="0"/>
          <w:sz w:val="21"/>
          <w:szCs w:val="21"/>
        </w:rPr>
      </w:pPr>
      <w:r>
        <w:rPr>
          <w:rStyle w:val="4"/>
          <w:rFonts w:hint="default" w:ascii="仿宋_gb2312" w:hAnsi="仿宋_gb2312" w:eastAsia="仿宋_gb2312" w:cs="仿宋_gb2312"/>
          <w:caps w:val="0"/>
          <w:color w:val="333333"/>
          <w:spacing w:val="0"/>
          <w:kern w:val="0"/>
          <w:sz w:val="24"/>
          <w:szCs w:val="24"/>
          <w:bdr w:val="none" w:color="auto" w:sz="0" w:space="0"/>
          <w:lang w:val="en-US" w:eastAsia="zh-CN" w:bidi="ar"/>
        </w:rPr>
        <w:t>根据《教育部关于印发&lt;职业教育专业目录（2021年）&gt;的通知》 (教职成〔2021〕2号)内容规定，部分高职高专专业名称于2021年进行动态更新，专科应届毕业生专业以《职业教育专业目录（2021年）》为准。参照《职业教育专业目录（2021年）》中《普通高等学校高等职业教育（专科）专业目录新旧专业对照表》，已毕业退役大学生士兵所学专科专业名称如与规定可报考专业对应的旧专业名称一致，则可以报考。</w:t>
      </w:r>
    </w:p>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JjOWQzOTc3ZGU4MDAwZmIzNmZiMmE2YzAzM2I5OTMifQ=="/>
  </w:docVars>
  <w:rsids>
    <w:rsidRoot w:val="2B8927DA"/>
    <w:rsid w:val="2B8927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autoRedefine/>
    <w:semiHidden/>
    <w:qFormat/>
    <w:uiPriority w:val="0"/>
    <w:tblPr>
      <w:tblCellMar>
        <w:top w:w="0" w:type="dxa"/>
        <w:left w:w="108" w:type="dxa"/>
        <w:bottom w:w="0" w:type="dxa"/>
        <w:right w:w="108" w:type="dxa"/>
      </w:tblCellMar>
    </w:tbl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2024-03-17T02:09:00Z</dcterms:created>
  <dc:creator> 阿妮娜</dc:creator>
  <cp:lastModifiedBy> 阿妮娜</cp:lastModifiedBy>
  <dcterms:modified xsi:type="dcterms:W3CDTF">2024-03-17T02:09:35Z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70B6DDF9E54E44F5BBB6ECB74EE9791A_11</vt:lpwstr>
  </property>
</Properties>
</file>